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82B7" w14:textId="77777777" w:rsidR="008924A7" w:rsidRDefault="008924A7" w:rsidP="13251E8D">
      <w:pPr>
        <w:spacing w:line="360" w:lineRule="auto"/>
        <w:rPr>
          <w:b/>
          <w:bCs/>
          <w:sz w:val="28"/>
          <w:szCs w:val="28"/>
          <w:rFonts w:ascii="Roboto" w:hAnsi="Roboto"/>
        </w:rPr>
      </w:pPr>
      <w:r>
        <w:rPr>
          <w:b/>
          <w:sz w:val="28"/>
          <w:rFonts w:ascii="Roboto" w:hAnsi="Roboto"/>
        </w:rPr>
        <w:t xml:space="preserve">Bizkaiko Foru Aldundiak eta Aclimak “Trantsizio Berdea, enpresentzako lehiakortasun-eredu berriak” txostena argitaratu dute</w:t>
      </w:r>
    </w:p>
    <w:p w14:paraId="2EDD4E0F" w14:textId="43AB0FEB" w:rsidR="00250D13" w:rsidRDefault="00767B13" w:rsidP="13251E8D">
      <w:pPr>
        <w:spacing w:line="360" w:lineRule="auto"/>
        <w:rPr>
          <w:i/>
          <w:iCs/>
          <w:rFonts w:ascii="Roboto" w:hAnsi="Roboto"/>
        </w:rPr>
      </w:pPr>
      <w:r>
        <w:rPr>
          <w:i/>
          <w:rFonts w:ascii="Roboto" w:hAnsi="Roboto"/>
        </w:rPr>
        <w:t xml:space="preserve">Bizkaia Enpresa 2025 topaketan aurkeztu dute txostena. Hartan, batetik, aztertzen da zer pertzepzio duten Bizkaiko enpresek Europako Itun Berdean jasotako neurriei buruz, zenbat egin duten aurrera eta zer aukera dituzten enpresa-garapen jasangarrirako, eta, bestetik, ibilbide-orri espezifiko bat proposatzen da enpresak testuinguru berrira egokitzen has daitezen, betiere lehiakortasuna kontuan hartuta.</w:t>
      </w:r>
    </w:p>
    <w:p w14:paraId="380B1EDE" w14:textId="77777777" w:rsidR="00075F0F" w:rsidRDefault="00075F0F" w:rsidP="00943F66">
      <w:pPr>
        <w:spacing w:line="360" w:lineRule="auto"/>
        <w:jc w:val="both"/>
        <w:rPr>
          <w:rFonts w:ascii="Roboto" w:hAnsi="Roboto"/>
          <w:lang w:val="es-ES"/>
        </w:rPr>
      </w:pPr>
    </w:p>
    <w:p w14:paraId="6A593325" w14:textId="721C1EA7" w:rsidR="00D709CC" w:rsidRDefault="003B0645" w:rsidP="002B0207">
      <w:pPr>
        <w:spacing w:line="360" w:lineRule="auto"/>
        <w:jc w:val="both"/>
        <w:rPr>
          <w:rFonts w:ascii="Roboto" w:hAnsi="Roboto"/>
        </w:rPr>
      </w:pPr>
      <w:r>
        <w:rPr>
          <w:rFonts w:ascii="Roboto" w:hAnsi="Roboto"/>
        </w:rPr>
        <w:t xml:space="preserve">Bilbo, 2025eko maiatzaren 8a.- Europak </w:t>
      </w:r>
      <w:r>
        <w:rPr>
          <w:b/>
          <w:bCs/>
          <w:rFonts w:ascii="Roboto" w:hAnsi="Roboto"/>
        </w:rPr>
        <w:t xml:space="preserve">Itun Berdean</w:t>
      </w:r>
      <w:r>
        <w:rPr>
          <w:rFonts w:ascii="Roboto" w:hAnsi="Roboto"/>
        </w:rPr>
        <w:t xml:space="preserve"> islatu zuen </w:t>
      </w:r>
      <w:r>
        <w:rPr>
          <w:b/>
          <w:bCs/>
          <w:rFonts w:ascii="Roboto" w:hAnsi="Roboto"/>
        </w:rPr>
        <w:t xml:space="preserve">garapen jasangarriaren</w:t>
      </w:r>
      <w:r>
        <w:rPr>
          <w:rFonts w:ascii="Roboto" w:hAnsi="Roboto"/>
        </w:rPr>
        <w:t xml:space="preserve"> aldeko apustua. </w:t>
      </w:r>
      <w:r>
        <w:rPr>
          <w:b/>
          <w:bCs/>
          <w:rFonts w:ascii="Roboto" w:hAnsi="Roboto"/>
        </w:rPr>
        <w:t xml:space="preserve">Ekonomia zirkularraren</w:t>
      </w:r>
      <w:r>
        <w:rPr>
          <w:rFonts w:ascii="Roboto" w:hAnsi="Roboto"/>
        </w:rPr>
        <w:t xml:space="preserve"> eta </w:t>
      </w:r>
      <w:r>
        <w:rPr>
          <w:b/>
          <w:bCs/>
          <w:rFonts w:ascii="Roboto" w:hAnsi="Roboto"/>
        </w:rPr>
        <w:t xml:space="preserve">deskarbonizazioaren</w:t>
      </w:r>
      <w:r>
        <w:rPr>
          <w:rFonts w:ascii="Roboto" w:hAnsi="Roboto"/>
        </w:rPr>
        <w:t xml:space="preserve"> bidez EBko ekonomia eraldatzera bideratutako estrategia bat da, ekonomia lehiakorragoa egiteko, eta klima-aldaketarekin eta ingurumenarekin lotutako erronkak hazkunde-aukera gisa hartzen ditu.</w:t>
      </w:r>
      <w:r>
        <w:rPr>
          <w:rFonts w:ascii="Roboto" w:hAnsi="Roboto"/>
        </w:rPr>
        <w:t xml:space="preserve"> </w:t>
      </w:r>
      <w:r>
        <w:rPr>
          <w:rFonts w:ascii="Roboto" w:hAnsi="Roboto"/>
        </w:rPr>
        <w:t xml:space="preserve">Itunaren helburuak hainbat arau eta estrategiatan garatu dira, hala nola </w:t>
      </w:r>
      <w:r>
        <w:rPr>
          <w:b/>
          <w:bCs/>
          <w:rFonts w:ascii="Roboto" w:hAnsi="Roboto"/>
        </w:rPr>
        <w:t xml:space="preserve">Industria Itun Garbian</w:t>
      </w:r>
      <w:r>
        <w:rPr>
          <w:rFonts w:ascii="Roboto" w:hAnsi="Roboto"/>
        </w:rPr>
        <w:t xml:space="preserve">, betiere kontuan hartuta neutraltasun klimatikoa lehiakortasunerako palanka bihurtu behar dela eta sektore ekonomiko guztiei eragiten dieten zeharkako irtenbideak bilatu behar direla.</w:t>
      </w:r>
      <w:r>
        <w:rPr>
          <w:rFonts w:ascii="Roboto" w:hAnsi="Roboto"/>
        </w:rPr>
        <w:t xml:space="preserve"> </w:t>
      </w:r>
      <w:r>
        <w:rPr>
          <w:rFonts w:ascii="Roboto" w:hAnsi="Roboto"/>
        </w:rPr>
        <w:t xml:space="preserve">Hala, beharrezkoa da enpresak paradigma berrira nola egokitzen ari diren aztertzea, eta, horretarako, </w:t>
      </w:r>
      <w:r>
        <w:rPr>
          <w:b/>
          <w:bCs/>
          <w:rFonts w:ascii="Roboto" w:hAnsi="Roboto"/>
        </w:rPr>
        <w:t xml:space="preserve">Aclimak</w:t>
      </w:r>
      <w:r>
        <w:rPr>
          <w:rFonts w:ascii="Roboto" w:hAnsi="Roboto"/>
        </w:rPr>
        <w:t xml:space="preserve"> eta Bizkaiko Foru Aldundiak, </w:t>
      </w:r>
      <w:r>
        <w:rPr>
          <w:b/>
          <w:bCs/>
          <w:rFonts w:ascii="Roboto" w:hAnsi="Roboto"/>
        </w:rPr>
        <w:t xml:space="preserve">Beaz-en</w:t>
      </w:r>
      <w:r>
        <w:rPr>
          <w:rFonts w:ascii="Roboto" w:hAnsi="Roboto"/>
        </w:rPr>
        <w:t xml:space="preserve"> bidez, “</w:t>
      </w:r>
      <w:r>
        <w:rPr>
          <w:b/>
          <w:bCs/>
          <w:rFonts w:ascii="Roboto" w:hAnsi="Roboto"/>
        </w:rPr>
        <w:t xml:space="preserve">Trantsizio Berdea, Bizkaiko enpresentzako lehiakortasun-eredu berriak</w:t>
      </w:r>
      <w:r>
        <w:rPr>
          <w:rFonts w:ascii="Roboto" w:hAnsi="Roboto"/>
        </w:rPr>
        <w:t xml:space="preserve">” txostena osatu dute. Txosten horretan, Bizkaiko enpresek Europako Itun Berdean jasotako politiketan egindako aurrerapenak zehazten dira.</w:t>
      </w:r>
      <w:r>
        <w:rPr>
          <w:rFonts w:ascii="Roboto" w:hAnsi="Roboto"/>
        </w:rPr>
        <w:t xml:space="preserve"> </w:t>
      </w:r>
    </w:p>
    <w:p w14:paraId="7F12CC73" w14:textId="77777777" w:rsidR="008809AF" w:rsidRDefault="008809AF" w:rsidP="002B0207">
      <w:pPr>
        <w:spacing w:line="360" w:lineRule="auto"/>
        <w:jc w:val="both"/>
        <w:rPr>
          <w:rFonts w:ascii="Roboto" w:hAnsi="Roboto"/>
        </w:rPr>
      </w:pPr>
    </w:p>
    <w:p w14:paraId="19CDCB43" w14:textId="245A965B" w:rsidR="00BF4AC0" w:rsidRDefault="008809AF" w:rsidP="4E7B10E3">
      <w:pPr>
        <w:spacing w:line="360" w:lineRule="auto"/>
        <w:jc w:val="both"/>
        <w:rPr>
          <w:rFonts w:ascii="Roboto" w:hAnsi="Roboto"/>
        </w:rPr>
      </w:pPr>
      <w:r>
        <w:rPr>
          <w:rFonts w:ascii="Roboto" w:hAnsi="Roboto"/>
        </w:rPr>
        <w:t xml:space="preserve">Europako estrategia babesteko zenbait ekintza egin dituzte euskal erakundeek, hala nola </w:t>
      </w:r>
      <w:r>
        <w:rPr>
          <w:b/>
          <w:rFonts w:ascii="Roboto" w:hAnsi="Roboto"/>
        </w:rPr>
        <w:t xml:space="preserve">Basque Green Deal</w:t>
      </w:r>
      <w:r>
        <w:rPr>
          <w:rFonts w:ascii="Roboto" w:hAnsi="Roboto"/>
        </w:rPr>
        <w:t xml:space="preserve">, klimaren neutraltasuna eta energia berriztagarriak sustatzeko Eusko Jaurlaritzak bultzatutako bide-orria, zeinean arreta berezia eskaintzen baitzaio industriari eta berrikuntza teknologikoari.</w:t>
      </w:r>
      <w:r>
        <w:rPr>
          <w:rFonts w:ascii="Roboto" w:hAnsi="Roboto"/>
        </w:rPr>
        <w:t xml:space="preserve"> </w:t>
      </w:r>
      <w:r>
        <w:rPr>
          <w:rFonts w:ascii="Roboto" w:hAnsi="Roboto"/>
        </w:rPr>
        <w:t xml:space="preserve">Halaber, </w:t>
      </w:r>
      <w:r>
        <w:rPr>
          <w:b/>
          <w:bCs/>
          <w:rFonts w:ascii="Roboto" w:hAnsi="Roboto"/>
        </w:rPr>
        <w:t xml:space="preserve">Bizkaiko Foru Aldundiak</w:t>
      </w:r>
      <w:r>
        <w:rPr>
          <w:rFonts w:ascii="Roboto" w:hAnsi="Roboto"/>
        </w:rPr>
        <w:t xml:space="preserve">, </w:t>
      </w:r>
      <w:r>
        <w:rPr>
          <w:b/>
          <w:bCs/>
          <w:rFonts w:ascii="Roboto" w:hAnsi="Roboto"/>
        </w:rPr>
        <w:t xml:space="preserve">Bizkaia Danontzat 2023-2027 planean</w:t>
      </w:r>
      <w:r>
        <w:rPr>
          <w:rFonts w:ascii="Roboto" w:hAnsi="Roboto"/>
        </w:rPr>
        <w:t xml:space="preserve">, ardatz gisa planteatzen ditu neutraltasun klimatikoa, energia garbien inplementazioa eta ekonomia zirkularraren sustapena.</w:t>
      </w:r>
    </w:p>
    <w:p w14:paraId="260DD5C3" w14:textId="77777777" w:rsidR="00BF4AC0" w:rsidRDefault="00BF4AC0" w:rsidP="002B0207">
      <w:pPr>
        <w:spacing w:line="360" w:lineRule="auto"/>
        <w:jc w:val="both"/>
        <w:rPr>
          <w:rFonts w:ascii="Roboto" w:hAnsi="Roboto"/>
        </w:rPr>
      </w:pPr>
    </w:p>
    <w:p w14:paraId="1553F852" w14:textId="094245EB" w:rsidR="006C1B5A" w:rsidRPr="00BF4AC0" w:rsidRDefault="00731B9E" w:rsidP="4E7B10E3">
      <w:pPr>
        <w:spacing w:line="360" w:lineRule="auto"/>
        <w:jc w:val="both"/>
        <w:rPr>
          <w:rFonts w:ascii="Roboto" w:hAnsi="Roboto"/>
        </w:rPr>
      </w:pPr>
      <w:r>
        <w:rPr>
          <w:rFonts w:ascii="Roboto" w:hAnsi="Roboto"/>
        </w:rPr>
        <w:t xml:space="preserve">Ezinbestekoa da aztertzea zer eragin duen horrek guztiak Bizkaiko enpresetan, eta zenbateraino ari diren erakundeak Trantsizio Berdearen printzipioak beren estrategietan txertatzen,</w:t>
      </w:r>
      <w:r>
        <w:rPr>
          <w:rFonts w:ascii="Roboto" w:hAnsi="Roboto"/>
        </w:rPr>
        <w:t xml:space="preserve">  </w:t>
      </w:r>
      <w:r>
        <w:rPr>
          <w:rFonts w:ascii="Roboto" w:hAnsi="Roboto"/>
        </w:rPr>
        <w:t xml:space="preserve">eta, hain zuzen, horixe da “</w:t>
      </w:r>
      <w:r>
        <w:rPr>
          <w:b/>
          <w:bCs/>
          <w:rFonts w:ascii="Roboto" w:hAnsi="Roboto"/>
        </w:rPr>
        <w:t xml:space="preserve">Trantsizio Berdea, Bizkaiko enpresentzako lehiakortasun-eredu berriak</w:t>
      </w:r>
      <w:r>
        <w:rPr>
          <w:rFonts w:ascii="Roboto" w:hAnsi="Roboto"/>
        </w:rPr>
        <w:t xml:space="preserve">” txostenaren helburua: ikustea zer pertzepzio duten Bizkaiko enpresek klima- eta ingurumen-politikei buruz, eta zer urrats egiten ari diren trantsizio ekologikoarekin lotuta.</w:t>
      </w:r>
      <w:r>
        <w:rPr>
          <w:rFonts w:ascii="Roboto" w:hAnsi="Roboto"/>
        </w:rPr>
        <w:t xml:space="preserve"> </w:t>
      </w:r>
      <w:r>
        <w:rPr>
          <w:rFonts w:ascii="Roboto" w:hAnsi="Roboto"/>
        </w:rPr>
        <w:t xml:space="preserve">Gainera, azterketa horrek informazio garrantzitsua ematen die lurraldeko enpresei eta eragile ekonomikoei Itun Berdeak eragindako egoera berrira egokitzen laguntzeko, eta ingurumen- eta iraunkortasun-irizpideekiko harmonizazioari esker </w:t>
      </w:r>
      <w:r>
        <w:rPr>
          <w:b/>
          <w:bCs/>
          <w:rFonts w:ascii="Roboto" w:hAnsi="Roboto"/>
        </w:rPr>
        <w:t xml:space="preserve">enpresek zer aukera dituzten</w:t>
      </w:r>
      <w:r>
        <w:rPr>
          <w:rFonts w:ascii="Roboto" w:hAnsi="Roboto"/>
        </w:rPr>
        <w:t xml:space="preserve"> esaten die.</w:t>
      </w:r>
      <w:r>
        <w:rPr>
          <w:rFonts w:ascii="Roboto" w:hAnsi="Roboto"/>
        </w:rPr>
        <w:t xml:space="preserve"> </w:t>
      </w:r>
    </w:p>
    <w:p w14:paraId="093D1118" w14:textId="77777777" w:rsidR="0014659A" w:rsidRDefault="0014659A" w:rsidP="00943F66">
      <w:pPr>
        <w:spacing w:line="360" w:lineRule="auto"/>
        <w:jc w:val="both"/>
        <w:rPr>
          <w:rFonts w:ascii="Roboto" w:hAnsi="Roboto"/>
          <w:b/>
          <w:bCs/>
          <w:u w:val="single"/>
          <w:lang w:val="es-ES"/>
        </w:rPr>
      </w:pPr>
    </w:p>
    <w:p w14:paraId="183CAA34" w14:textId="4A3D5A52" w:rsidR="002C58A6" w:rsidRDefault="0014659A" w:rsidP="00943F66">
      <w:pPr>
        <w:spacing w:line="360" w:lineRule="auto"/>
        <w:jc w:val="both"/>
        <w:rPr>
          <w:rFonts w:ascii="Roboto" w:hAnsi="Roboto"/>
        </w:rPr>
      </w:pPr>
      <w:r>
        <w:rPr>
          <w:b/>
          <w:u w:val="single"/>
          <w:rFonts w:ascii="Roboto" w:hAnsi="Roboto"/>
        </w:rPr>
        <w:t xml:space="preserve">Nondik hasi?</w:t>
      </w:r>
    </w:p>
    <w:p w14:paraId="357374E2" w14:textId="77777777" w:rsidR="00250D13" w:rsidRDefault="00250D13" w:rsidP="00943F66">
      <w:pPr>
        <w:spacing w:line="360" w:lineRule="auto"/>
        <w:jc w:val="both"/>
        <w:rPr>
          <w:rFonts w:ascii="Roboto" w:hAnsi="Roboto"/>
          <w:lang w:val="es-ES"/>
        </w:rPr>
      </w:pPr>
    </w:p>
    <w:p w14:paraId="18E93A15" w14:textId="56D8A85B" w:rsidR="005B5856" w:rsidRDefault="005B5856" w:rsidP="005B5856">
      <w:pPr>
        <w:spacing w:line="360" w:lineRule="auto"/>
        <w:jc w:val="both"/>
        <w:rPr>
          <w:rFonts w:ascii="Roboto" w:hAnsi="Roboto"/>
        </w:rPr>
      </w:pPr>
      <w:r>
        <w:rPr>
          <w:rFonts w:ascii="Roboto" w:hAnsi="Roboto"/>
        </w:rPr>
        <w:t xml:space="preserve">Enpresen estrategian trantsizio berdea txertatzeko moduari buruzko informazioa emateko, ibilbide-orri bat diseinatu dute </w:t>
      </w:r>
      <w:r>
        <w:rPr>
          <w:b/>
          <w:bCs/>
          <w:rFonts w:ascii="Roboto" w:hAnsi="Roboto"/>
        </w:rPr>
        <w:t xml:space="preserve">Aclimak eta Beaz-ek</w:t>
      </w:r>
      <w:r>
        <w:rPr>
          <w:rFonts w:ascii="Roboto" w:hAnsi="Roboto"/>
        </w:rPr>
        <w:t xml:space="preserve"> —</w:t>
      </w:r>
      <w:r>
        <w:rPr>
          <w:b/>
          <w:bCs/>
          <w:rFonts w:ascii="Roboto" w:hAnsi="Roboto"/>
        </w:rPr>
        <w:t xml:space="preserve">Bizkaiko Foru Aldundiari atxikitako sozietate bat</w:t>
      </w:r>
      <w:r>
        <w:rPr>
          <w:rFonts w:ascii="Roboto" w:hAnsi="Roboto"/>
        </w:rPr>
        <w:t xml:space="preserve">— trantsizio hori jarrera posibilista batekin egiteko.</w:t>
      </w:r>
      <w:r>
        <w:rPr>
          <w:rFonts w:ascii="Roboto" w:hAnsi="Roboto"/>
        </w:rPr>
        <w:t xml:space="preserve"> </w:t>
      </w:r>
      <w:r>
        <w:rPr>
          <w:rFonts w:ascii="Roboto" w:hAnsi="Roboto"/>
        </w:rPr>
        <w:t xml:space="preserve">Txostenak 12 eremu jasotzen ditu; enpresek modu ordenatuan ikus ditzakete, eta beren jarduerarako interesgarrienak diren eremuak sakonago aztertu.</w:t>
      </w:r>
    </w:p>
    <w:p w14:paraId="460C8A83" w14:textId="77777777" w:rsidR="001E2505" w:rsidRDefault="001E2505" w:rsidP="005B5856">
      <w:pPr>
        <w:spacing w:line="360" w:lineRule="auto"/>
        <w:jc w:val="both"/>
        <w:rPr>
          <w:rFonts w:ascii="Roboto" w:hAnsi="Roboto"/>
        </w:rPr>
      </w:pPr>
    </w:p>
    <w:p w14:paraId="546AFF3B" w14:textId="2E2CCD0F" w:rsidR="001E2505" w:rsidRDefault="001E2505" w:rsidP="005B5856">
      <w:pPr>
        <w:spacing w:line="360" w:lineRule="auto"/>
        <w:jc w:val="both"/>
        <w:rPr>
          <w:rFonts w:ascii="Roboto" w:hAnsi="Roboto"/>
        </w:rPr>
      </w:pPr>
      <w:r>
        <w:rPr>
          <w:rFonts w:ascii="Roboto" w:hAnsi="Roboto"/>
        </w:rPr>
        <w:t xml:space="preserve">Bide horretan laguntzeko, txostenak atal bat du lurraldeko enpresa-sarearen eskura dauden </w:t>
      </w:r>
      <w:r>
        <w:rPr>
          <w:b/>
          <w:bCs/>
          <w:rFonts w:ascii="Roboto" w:hAnsi="Roboto"/>
        </w:rPr>
        <w:t xml:space="preserve">laguntza-tresnak</w:t>
      </w:r>
      <w:r>
        <w:rPr>
          <w:rFonts w:ascii="Roboto" w:hAnsi="Roboto"/>
        </w:rPr>
        <w:t xml:space="preserve"> xehatzeko, hala nola diru-laguntzen programak, kenkari fiskalak, </w:t>
      </w:r>
      <w:r>
        <w:rPr>
          <w:b/>
          <w:bCs/>
          <w:rFonts w:ascii="Roboto" w:hAnsi="Roboto"/>
        </w:rPr>
        <w:t xml:space="preserve">Bizkaiko Foru Aldundiaren</w:t>
      </w:r>
      <w:r>
        <w:rPr>
          <w:rFonts w:ascii="Roboto" w:hAnsi="Roboto"/>
        </w:rPr>
        <w:t xml:space="preserve"> beste zerbitzu batzuk, eta beste baliabide interesgarri batzuk, tartean direla </w:t>
      </w:r>
      <w:r>
        <w:rPr>
          <w:b/>
          <w:bCs/>
          <w:rFonts w:ascii="Roboto" w:hAnsi="Roboto"/>
        </w:rPr>
        <w:t xml:space="preserve">Aclima</w:t>
      </w:r>
      <w:r>
        <w:rPr>
          <w:rFonts w:ascii="Roboto" w:hAnsi="Roboto"/>
        </w:rPr>
        <w:t xml:space="preserve"> euskal ingurumen-industriaren klusterrak eskaintzen dituenak.</w:t>
      </w:r>
    </w:p>
    <w:p w14:paraId="76D30656" w14:textId="7A2E928C" w:rsidR="001E2505" w:rsidRDefault="001E2505" w:rsidP="005B5856">
      <w:pPr>
        <w:spacing w:line="360" w:lineRule="auto"/>
        <w:jc w:val="both"/>
        <w:rPr>
          <w:rFonts w:ascii="Roboto" w:hAnsi="Roboto"/>
        </w:rPr>
      </w:pPr>
    </w:p>
    <w:p w14:paraId="2B539CD0" w14:textId="79BD34FD" w:rsidR="001E2505" w:rsidRDefault="001E2505" w:rsidP="001E2505">
      <w:pPr>
        <w:pStyle w:val="Prrafodelista"/>
        <w:numPr>
          <w:ilvl w:val="0"/>
          <w:numId w:val="12"/>
        </w:numPr>
        <w:spacing w:line="360" w:lineRule="auto"/>
        <w:jc w:val="both"/>
        <w:rPr>
          <w:rFonts w:ascii="Roboto" w:hAnsi="Roboto"/>
        </w:rPr>
      </w:pPr>
      <w:hyperlink r:id="rId10" w:history="1">
        <w:r>
          <w:rPr>
            <w:rStyle w:val="Hipervnculo"/>
            <w:rFonts w:ascii="Roboto" w:hAnsi="Roboto"/>
          </w:rPr>
          <w:t xml:space="preserve">Transición Verde, nuevos modelos de competitividad para las empresas de Bizkaia </w:t>
        </w:r>
      </w:hyperlink>
    </w:p>
    <w:p w14:paraId="7D5C4F5B" w14:textId="0A978669" w:rsidR="00FB2B11" w:rsidRPr="00050E23" w:rsidRDefault="00050E23" w:rsidP="002D48E4">
      <w:pPr>
        <w:pStyle w:val="Prrafodelista"/>
        <w:numPr>
          <w:ilvl w:val="0"/>
          <w:numId w:val="12"/>
        </w:numPr>
        <w:spacing w:line="360" w:lineRule="auto"/>
        <w:jc w:val="both"/>
        <w:rPr>
          <w:rFonts w:ascii="Roboto" w:hAnsi="Roboto"/>
        </w:rPr>
      </w:pPr>
      <w:hyperlink r:id="rId11" w:history="1">
        <w:r>
          <w:rPr>
            <w:rStyle w:val="Hipervnculo"/>
            <w:rFonts w:ascii="Roboto" w:hAnsi="Roboto"/>
          </w:rPr>
          <w:t xml:space="preserve">Trantsizio berdea, Bizkaiko enpresentzako lehiakortasun eredu berriak</w:t>
        </w:r>
      </w:hyperlink>
      <w:r>
        <w:rPr>
          <w:rFonts w:ascii="Roboto" w:hAnsi="Roboto"/>
        </w:rPr>
        <w:t xml:space="preserve"> </w:t>
      </w:r>
    </w:p>
    <w:p w14:paraId="53F783EA" w14:textId="77777777" w:rsidR="00050E23" w:rsidRPr="00050E23" w:rsidRDefault="00050E23" w:rsidP="00050E23">
      <w:pPr>
        <w:pStyle w:val="Prrafodelista"/>
        <w:spacing w:line="360" w:lineRule="auto"/>
        <w:jc w:val="both"/>
        <w:rPr>
          <w:rFonts w:ascii="Roboto" w:hAnsi="Roboto"/>
          <w:lang w:val="es-ES"/>
        </w:rPr>
      </w:pPr>
    </w:p>
    <w:p w14:paraId="7F36185C" w14:textId="77777777" w:rsidR="002C58A6" w:rsidRPr="002C58A6" w:rsidRDefault="002C58A6" w:rsidP="002C58A6">
      <w:pPr>
        <w:jc w:val="right"/>
        <w:rPr>
          <w:b/>
          <w:bCs/>
          <w:rFonts w:ascii="Roboto" w:hAnsi="Roboto"/>
        </w:rPr>
      </w:pPr>
      <w:r>
        <w:rPr>
          <w:b/>
          <w:rFonts w:ascii="Roboto" w:hAnsi="Roboto"/>
        </w:rPr>
        <w:t xml:space="preserve">Prentsarako kontaktua:</w:t>
      </w:r>
    </w:p>
    <w:p w14:paraId="595178EE" w14:textId="77777777" w:rsidR="002C58A6" w:rsidRPr="002C58A6" w:rsidRDefault="002C58A6" w:rsidP="002C58A6">
      <w:pPr>
        <w:jc w:val="right"/>
        <w:rPr>
          <w:rFonts w:ascii="Roboto" w:hAnsi="Roboto"/>
        </w:rPr>
      </w:pPr>
      <w:r>
        <w:rPr>
          <w:rFonts w:ascii="Roboto" w:hAnsi="Roboto"/>
        </w:rPr>
        <w:t xml:space="preserve">Rakel Reyes</w:t>
      </w:r>
    </w:p>
    <w:p w14:paraId="259937E0" w14:textId="3C982029" w:rsidR="002C58A6" w:rsidRPr="002C58A6" w:rsidRDefault="5ED8B9F6" w:rsidP="002C58A6">
      <w:pPr>
        <w:jc w:val="right"/>
        <w:rPr>
          <w:rFonts w:ascii="Roboto" w:hAnsi="Roboto"/>
        </w:rPr>
      </w:pPr>
      <w:r>
        <w:rPr>
          <w:rFonts w:ascii="Roboto" w:hAnsi="Roboto"/>
        </w:rPr>
        <w:t xml:space="preserve">Aclimako Komunikazioko eta Talentuko zuzendaria</w:t>
      </w:r>
    </w:p>
    <w:p w14:paraId="26536FA1" w14:textId="65BB25EA" w:rsidR="00250D13" w:rsidRPr="00D709CC" w:rsidRDefault="002C58A6" w:rsidP="00E10B5C">
      <w:pPr>
        <w:jc w:val="right"/>
        <w:rPr>
          <w:rFonts w:ascii="Roboto" w:hAnsi="Roboto"/>
        </w:rPr>
      </w:pPr>
      <w:r>
        <w:rPr>
          <w:rFonts w:ascii="Roboto" w:hAnsi="Roboto"/>
        </w:rPr>
        <w:t xml:space="preserve">Tel.:</w:t>
      </w:r>
      <w:r>
        <w:rPr>
          <w:rFonts w:ascii="Roboto" w:hAnsi="Roboto"/>
        </w:rPr>
        <w:t xml:space="preserve"> </w:t>
      </w:r>
      <w:r>
        <w:rPr>
          <w:rFonts w:ascii="Roboto" w:hAnsi="Roboto"/>
        </w:rPr>
        <w:t xml:space="preserve">653706742</w:t>
      </w:r>
      <w:r>
        <w:t xml:space="preserve"> </w:t>
      </w:r>
      <w:hyperlink r:id="rId12" w:history="1">
        <w:r>
          <w:rPr>
            <w:rStyle w:val="Hipervnculo"/>
            <w:rFonts w:ascii="Roboto" w:hAnsi="Roboto"/>
          </w:rPr>
          <w:t xml:space="preserve">rakel@aclima.eus</w:t>
        </w:r>
      </w:hyperlink>
      <w:r>
        <w:rPr>
          <w:rFonts w:ascii="Roboto" w:hAnsi="Roboto"/>
        </w:rPr>
        <w:t xml:space="preserve"> </w:t>
      </w:r>
    </w:p>
    <w:sectPr w:rsidR="00250D13" w:rsidRPr="00D709CC">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D850" w14:textId="77777777" w:rsidR="009C512E" w:rsidRDefault="009C512E">
      <w:pPr>
        <w:spacing w:line="240" w:lineRule="auto"/>
      </w:pPr>
      <w:r>
        <w:separator/>
      </w:r>
    </w:p>
  </w:endnote>
  <w:endnote w:type="continuationSeparator" w:id="0">
    <w:p w14:paraId="622FD30A" w14:textId="77777777" w:rsidR="009C512E" w:rsidRDefault="009C5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7CEF" w14:textId="77777777" w:rsidR="009C512E" w:rsidRDefault="009C512E">
      <w:pPr>
        <w:spacing w:line="240" w:lineRule="auto"/>
      </w:pPr>
      <w:r>
        <w:separator/>
      </w:r>
    </w:p>
  </w:footnote>
  <w:footnote w:type="continuationSeparator" w:id="0">
    <w:p w14:paraId="1DF0167E" w14:textId="77777777" w:rsidR="009C512E" w:rsidRDefault="009C51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171B" w14:textId="3A47F1F4" w:rsidR="00D15E44" w:rsidRDefault="00D15E44">
    <w:pPr>
      <w:spacing w:line="240" w:lineRule="auto"/>
      <w:jc w:val="right"/>
      <w:rPr>
        <w:b/>
        <w:sz w:val="20"/>
        <w:szCs w:val="20"/>
      </w:rPr>
    </w:pPr>
  </w:p>
  <w:p w14:paraId="3A353CC1" w14:textId="49D1D6BC" w:rsidR="00D15E44" w:rsidRDefault="00F00816">
    <w:pPr>
      <w:spacing w:line="240" w:lineRule="auto"/>
      <w:jc w:val="right"/>
      <w:rPr>
        <w:b/>
        <w:sz w:val="20"/>
        <w:szCs w:val="20"/>
      </w:rPr>
    </w:pPr>
    <w:r>
      <w:drawing>
        <wp:anchor distT="0" distB="0" distL="114300" distR="114300" simplePos="0" relativeHeight="251660288" behindDoc="1" locked="0" layoutInCell="1" allowOverlap="1" wp14:anchorId="1C5FD9B2" wp14:editId="7EA2AB9F">
          <wp:simplePos x="0" y="0"/>
          <wp:positionH relativeFrom="margin">
            <wp:posOffset>-635</wp:posOffset>
          </wp:positionH>
          <wp:positionV relativeFrom="paragraph">
            <wp:posOffset>126365</wp:posOffset>
          </wp:positionV>
          <wp:extent cx="3447415" cy="798830"/>
          <wp:effectExtent l="0" t="0" r="635" b="1270"/>
          <wp:wrapTight wrapText="bothSides">
            <wp:wrapPolygon edited="0">
              <wp:start x="0" y="0"/>
              <wp:lineTo x="0" y="21119"/>
              <wp:lineTo x="21485" y="21119"/>
              <wp:lineTo x="21485" y="0"/>
              <wp:lineTo x="0" y="0"/>
            </wp:wrapPolygon>
          </wp:wrapTight>
          <wp:docPr id="352386048" name="Imagen 2"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86048" name="Imagen 2"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447415" cy="798830"/>
                  </a:xfrm>
                  <a:prstGeom prst="rect">
                    <a:avLst/>
                  </a:prstGeom>
                </pic:spPr>
              </pic:pic>
            </a:graphicData>
          </a:graphic>
          <wp14:sizeRelH relativeFrom="margin">
            <wp14:pctWidth>0</wp14:pctWidth>
          </wp14:sizeRelH>
          <wp14:sizeRelV relativeFrom="margin">
            <wp14:pctHeight>0</wp14:pctHeight>
          </wp14:sizeRelV>
        </wp:anchor>
      </w:drawing>
    </w:r>
  </w:p>
  <w:p w14:paraId="27688434" w14:textId="468184E3" w:rsidR="00D15E44" w:rsidRDefault="00D15E44">
    <w:pPr>
      <w:spacing w:line="240" w:lineRule="auto"/>
      <w:jc w:val="right"/>
      <w:rPr>
        <w:b/>
        <w:sz w:val="20"/>
        <w:szCs w:val="20"/>
      </w:rPr>
    </w:pPr>
  </w:p>
  <w:p w14:paraId="6FA49701" w14:textId="3F6F2EE6" w:rsidR="00D15E44" w:rsidRDefault="00B950F2">
    <w:pPr>
      <w:spacing w:line="240" w:lineRule="auto"/>
      <w:jc w:val="right"/>
      <w:rPr>
        <w:b/>
        <w:color w:val="00C389"/>
        <w:sz w:val="32"/>
        <w:szCs w:val="32"/>
        <w:rFonts w:ascii="Roboto" w:hAnsi="Roboto"/>
      </w:rPr>
    </w:pPr>
    <w:r>
      <w:rPr>
        <w:b/>
        <w:color w:val="00C389"/>
        <w:sz w:val="32"/>
        <w:rFonts w:ascii="Roboto" w:hAnsi="Roboto"/>
      </w:rPr>
      <w:t xml:space="preserve">Prentsa-oharra</w:t>
    </w:r>
  </w:p>
  <w:p w14:paraId="1841F295" w14:textId="2AA9BD6D" w:rsidR="00D15E44" w:rsidRPr="00E13B5D" w:rsidRDefault="004F4781">
    <w:pPr>
      <w:spacing w:line="240" w:lineRule="auto"/>
      <w:jc w:val="right"/>
      <w:rPr>
        <w:b/>
        <w:sz w:val="20"/>
        <w:szCs w:val="20"/>
        <w:rFonts w:ascii="Roboto" w:hAnsi="Roboto"/>
      </w:rPr>
    </w:pPr>
    <w:r>
      <w:rPr>
        <w:b/>
        <w:sz w:val="20"/>
        <w:rFonts w:ascii="Roboto" w:hAnsi="Roboto"/>
      </w:rPr>
      <w:t xml:space="preserve">2025eko maiatzaren 8a</w:t>
    </w:r>
  </w:p>
  <w:p w14:paraId="3504034A" w14:textId="5D3EB5D0" w:rsidR="00D15E44" w:rsidRDefault="00D15E44">
    <w:pPr>
      <w:spacing w:line="240" w:lineRule="auto"/>
      <w:jc w:val="right"/>
      <w:rPr>
        <w:b/>
        <w:color w:val="008000"/>
        <w:sz w:val="20"/>
        <w:szCs w:val="20"/>
        <w:u w:val="single"/>
      </w:rPr>
    </w:pPr>
  </w:p>
  <w:p w14:paraId="4B416A6B" w14:textId="77777777" w:rsidR="00B16BA4" w:rsidRDefault="00B16BA4">
    <w:pPr>
      <w:spacing w:line="240" w:lineRule="auto"/>
      <w:jc w:val="right"/>
      <w:rPr>
        <w:b/>
        <w:color w:val="008000"/>
        <w:sz w:val="20"/>
        <w:szCs w:val="20"/>
        <w:u w:val="single"/>
      </w:rPr>
    </w:pPr>
  </w:p>
  <w:p w14:paraId="75FEFA75" w14:textId="7C8700B9" w:rsidR="00D15E44" w:rsidRDefault="00750EE2">
    <w:pPr>
      <w:spacing w:line="240" w:lineRule="auto"/>
      <w:rPr>
        <w:b/>
        <w:rFonts w:ascii="Verdana" w:eastAsia="Verdana" w:hAnsi="Verdana" w:cs="Verdana"/>
      </w:rPr>
    </w:pPr>
    <w:r>
      <w:rPr>
        <w:b/>
        <w:color w:val="008000"/>
        <w:sz w:val="20"/>
        <w:u w:val="single"/>
      </w:rPr>
      <mc:AlternateContent>
        <mc:Choice Requires="wps">
          <w:drawing>
            <wp:anchor distT="0" distB="0" distL="114300" distR="114300" simplePos="0" relativeHeight="251659264" behindDoc="0" locked="0" layoutInCell="1" allowOverlap="1" wp14:anchorId="26577C97" wp14:editId="62D36EDD">
              <wp:simplePos x="0" y="0"/>
              <wp:positionH relativeFrom="column">
                <wp:posOffset>0</wp:posOffset>
              </wp:positionH>
              <wp:positionV relativeFrom="paragraph">
                <wp:posOffset>67310</wp:posOffset>
              </wp:positionV>
              <wp:extent cx="5743575" cy="0"/>
              <wp:effectExtent l="0" t="0" r="0" b="0"/>
              <wp:wrapNone/>
              <wp:docPr id="54686305" name="Conector recto 1"/>
              <wp:cNvGraphicFramePr/>
              <a:graphic xmlns:a="http://schemas.openxmlformats.org/drawingml/2006/main">
                <a:graphicData uri="http://schemas.microsoft.com/office/word/2010/wordprocessingShape">
                  <wps:wsp>
                    <wps:cNvCnPr/>
                    <wps:spPr>
                      <a:xfrm>
                        <a:off x="0" y="0"/>
                        <a:ext cx="5743575" cy="0"/>
                      </a:xfrm>
                      <a:prstGeom prst="line">
                        <a:avLst/>
                      </a:prstGeom>
                      <a:ln>
                        <a:solidFill>
                          <a:srgbClr val="00C389"/>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Conector recto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00c389" from="0,5.3pt" to="452.25pt,5.3pt" w14:anchorId="674A9B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"/>
          </w:pict>
        </mc:Fallback>
      </mc:AlternateContent>
    </w:r>
  </w:p>
  <w:p w14:paraId="51DB4CC5" w14:textId="4BED414F" w:rsidR="00D15E44" w:rsidRDefault="00D15E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3E6B"/>
    <w:multiLevelType w:val="hybridMultilevel"/>
    <w:tmpl w:val="18A004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B5073F"/>
    <w:multiLevelType w:val="hybridMultilevel"/>
    <w:tmpl w:val="7AD473B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CF0344"/>
    <w:multiLevelType w:val="hybridMultilevel"/>
    <w:tmpl w:val="D7300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C6C16BC"/>
    <w:multiLevelType w:val="hybridMultilevel"/>
    <w:tmpl w:val="C79AF6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DA054B"/>
    <w:multiLevelType w:val="hybridMultilevel"/>
    <w:tmpl w:val="4560F7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C87977"/>
    <w:multiLevelType w:val="hybridMultilevel"/>
    <w:tmpl w:val="E230EF02"/>
    <w:lvl w:ilvl="0" w:tplc="FFFFFFF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667737"/>
    <w:multiLevelType w:val="hybridMultilevel"/>
    <w:tmpl w:val="459CEBFC"/>
    <w:lvl w:ilvl="0" w:tplc="C928A17A">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F90728"/>
    <w:multiLevelType w:val="hybridMultilevel"/>
    <w:tmpl w:val="0D92E6FC"/>
    <w:lvl w:ilvl="0" w:tplc="0C0A0001">
      <w:start w:val="1"/>
      <w:numFmt w:val="bullet"/>
      <w:lvlText w:val=""/>
      <w:lvlJc w:val="left"/>
      <w:pPr>
        <w:ind w:left="720" w:hanging="360"/>
      </w:pPr>
      <w:rPr>
        <w:rFonts w:ascii="Symbol" w:hAnsi="Symbol" w:hint="default"/>
      </w:rPr>
    </w:lvl>
    <w:lvl w:ilvl="1" w:tplc="26E44B3C">
      <w:start w:val="1"/>
      <w:numFmt w:val="decimal"/>
      <w:lvlText w:val="%2."/>
      <w:lvlJc w:val="left"/>
      <w:pPr>
        <w:ind w:left="1440" w:hanging="360"/>
      </w:pPr>
      <w:rPr>
        <w:rFonts w:hint="default"/>
        <w:color w:val="7F7F7F" w:themeColor="text1" w:themeTint="8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4F3455"/>
    <w:multiLevelType w:val="hybridMultilevel"/>
    <w:tmpl w:val="FBE64EA2"/>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8ED2A78"/>
    <w:multiLevelType w:val="multilevel"/>
    <w:tmpl w:val="D160F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BF3F74"/>
    <w:multiLevelType w:val="hybridMultilevel"/>
    <w:tmpl w:val="E22AF2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E68276D"/>
    <w:multiLevelType w:val="hybridMultilevel"/>
    <w:tmpl w:val="4560F752"/>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95134876">
    <w:abstractNumId w:val="2"/>
  </w:num>
  <w:num w:numId="2" w16cid:durableId="105393378">
    <w:abstractNumId w:val="9"/>
  </w:num>
  <w:num w:numId="3" w16cid:durableId="263345597">
    <w:abstractNumId w:val="10"/>
  </w:num>
  <w:num w:numId="4" w16cid:durableId="80762645">
    <w:abstractNumId w:val="0"/>
  </w:num>
  <w:num w:numId="5" w16cid:durableId="1136492369">
    <w:abstractNumId w:val="11"/>
  </w:num>
  <w:num w:numId="6" w16cid:durableId="190919208">
    <w:abstractNumId w:val="5"/>
  </w:num>
  <w:num w:numId="7" w16cid:durableId="921453348">
    <w:abstractNumId w:val="4"/>
  </w:num>
  <w:num w:numId="8" w16cid:durableId="22904519">
    <w:abstractNumId w:val="8"/>
  </w:num>
  <w:num w:numId="9" w16cid:durableId="1433628400">
    <w:abstractNumId w:val="1"/>
  </w:num>
  <w:num w:numId="10" w16cid:durableId="942566276">
    <w:abstractNumId w:val="7"/>
  </w:num>
  <w:num w:numId="11" w16cid:durableId="1414280295">
    <w:abstractNumId w:val="3"/>
  </w:num>
  <w:num w:numId="12" w16cid:durableId="1875003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44"/>
    <w:rsid w:val="00005DC5"/>
    <w:rsid w:val="000139D0"/>
    <w:rsid w:val="00020111"/>
    <w:rsid w:val="00023D3C"/>
    <w:rsid w:val="00032200"/>
    <w:rsid w:val="00036EF8"/>
    <w:rsid w:val="00047013"/>
    <w:rsid w:val="00050E23"/>
    <w:rsid w:val="0006612D"/>
    <w:rsid w:val="00075F0F"/>
    <w:rsid w:val="0009541D"/>
    <w:rsid w:val="000A450F"/>
    <w:rsid w:val="000E06F3"/>
    <w:rsid w:val="001456E5"/>
    <w:rsid w:val="0014659A"/>
    <w:rsid w:val="00147292"/>
    <w:rsid w:val="001627EE"/>
    <w:rsid w:val="001B642B"/>
    <w:rsid w:val="001C6FA6"/>
    <w:rsid w:val="001E2505"/>
    <w:rsid w:val="001E5969"/>
    <w:rsid w:val="001F4006"/>
    <w:rsid w:val="001F49F5"/>
    <w:rsid w:val="00250D13"/>
    <w:rsid w:val="002563E1"/>
    <w:rsid w:val="002573A1"/>
    <w:rsid w:val="0028113A"/>
    <w:rsid w:val="002856B3"/>
    <w:rsid w:val="002A27CF"/>
    <w:rsid w:val="002A3CB1"/>
    <w:rsid w:val="002B0207"/>
    <w:rsid w:val="002C58A6"/>
    <w:rsid w:val="002C635B"/>
    <w:rsid w:val="002F5448"/>
    <w:rsid w:val="00312BED"/>
    <w:rsid w:val="00312E07"/>
    <w:rsid w:val="00355EB2"/>
    <w:rsid w:val="003823BD"/>
    <w:rsid w:val="003B0645"/>
    <w:rsid w:val="003B07FC"/>
    <w:rsid w:val="003C7DAD"/>
    <w:rsid w:val="004128AF"/>
    <w:rsid w:val="0041706D"/>
    <w:rsid w:val="00423F9B"/>
    <w:rsid w:val="00430E35"/>
    <w:rsid w:val="00434013"/>
    <w:rsid w:val="004542C9"/>
    <w:rsid w:val="0045489E"/>
    <w:rsid w:val="004C7965"/>
    <w:rsid w:val="004E07D7"/>
    <w:rsid w:val="004F3D67"/>
    <w:rsid w:val="004F4679"/>
    <w:rsid w:val="004F4781"/>
    <w:rsid w:val="00522FD3"/>
    <w:rsid w:val="00524338"/>
    <w:rsid w:val="00535CD1"/>
    <w:rsid w:val="00586CEF"/>
    <w:rsid w:val="005907B5"/>
    <w:rsid w:val="005969E0"/>
    <w:rsid w:val="005B5856"/>
    <w:rsid w:val="005B7894"/>
    <w:rsid w:val="005C7C3C"/>
    <w:rsid w:val="005E5FEE"/>
    <w:rsid w:val="005F0F2E"/>
    <w:rsid w:val="005F53D5"/>
    <w:rsid w:val="005F588E"/>
    <w:rsid w:val="005F756C"/>
    <w:rsid w:val="00614A00"/>
    <w:rsid w:val="00621AB5"/>
    <w:rsid w:val="00642E5F"/>
    <w:rsid w:val="00647FAF"/>
    <w:rsid w:val="00682F90"/>
    <w:rsid w:val="006C1B5A"/>
    <w:rsid w:val="006D2B18"/>
    <w:rsid w:val="006E029F"/>
    <w:rsid w:val="00702793"/>
    <w:rsid w:val="007168C9"/>
    <w:rsid w:val="00731B9E"/>
    <w:rsid w:val="00750EE2"/>
    <w:rsid w:val="00752EC4"/>
    <w:rsid w:val="00767B13"/>
    <w:rsid w:val="0080078A"/>
    <w:rsid w:val="00803A0E"/>
    <w:rsid w:val="00835D3D"/>
    <w:rsid w:val="008426A1"/>
    <w:rsid w:val="008633B9"/>
    <w:rsid w:val="0086547A"/>
    <w:rsid w:val="008809AF"/>
    <w:rsid w:val="008924A7"/>
    <w:rsid w:val="008B7A9C"/>
    <w:rsid w:val="008D09EC"/>
    <w:rsid w:val="008D5ACA"/>
    <w:rsid w:val="008F19AC"/>
    <w:rsid w:val="008F5E7B"/>
    <w:rsid w:val="008F6DF9"/>
    <w:rsid w:val="00915C3F"/>
    <w:rsid w:val="0093164D"/>
    <w:rsid w:val="00934BCF"/>
    <w:rsid w:val="00943F66"/>
    <w:rsid w:val="00950A55"/>
    <w:rsid w:val="00984F53"/>
    <w:rsid w:val="00991F1F"/>
    <w:rsid w:val="00997AE0"/>
    <w:rsid w:val="009C512E"/>
    <w:rsid w:val="009D36D4"/>
    <w:rsid w:val="009E1795"/>
    <w:rsid w:val="009E49BF"/>
    <w:rsid w:val="00A00E6F"/>
    <w:rsid w:val="00A059BA"/>
    <w:rsid w:val="00A31F5E"/>
    <w:rsid w:val="00A34BF3"/>
    <w:rsid w:val="00A464D9"/>
    <w:rsid w:val="00A77400"/>
    <w:rsid w:val="00A8703B"/>
    <w:rsid w:val="00A87896"/>
    <w:rsid w:val="00A93B19"/>
    <w:rsid w:val="00A95D59"/>
    <w:rsid w:val="00AA6CBD"/>
    <w:rsid w:val="00B022E7"/>
    <w:rsid w:val="00B16BA4"/>
    <w:rsid w:val="00B22C0B"/>
    <w:rsid w:val="00B41808"/>
    <w:rsid w:val="00B65E5E"/>
    <w:rsid w:val="00B74CCB"/>
    <w:rsid w:val="00B91FC4"/>
    <w:rsid w:val="00B950F2"/>
    <w:rsid w:val="00BB32E6"/>
    <w:rsid w:val="00BF4AC0"/>
    <w:rsid w:val="00C122D0"/>
    <w:rsid w:val="00C34A02"/>
    <w:rsid w:val="00C42856"/>
    <w:rsid w:val="00C527F3"/>
    <w:rsid w:val="00C94DA6"/>
    <w:rsid w:val="00CB3830"/>
    <w:rsid w:val="00CD30F3"/>
    <w:rsid w:val="00CE5D24"/>
    <w:rsid w:val="00CF0DDA"/>
    <w:rsid w:val="00CF7880"/>
    <w:rsid w:val="00D15E44"/>
    <w:rsid w:val="00D23DD6"/>
    <w:rsid w:val="00D32702"/>
    <w:rsid w:val="00D33281"/>
    <w:rsid w:val="00D53924"/>
    <w:rsid w:val="00D709CC"/>
    <w:rsid w:val="00D75664"/>
    <w:rsid w:val="00D814FE"/>
    <w:rsid w:val="00D90963"/>
    <w:rsid w:val="00DC60FF"/>
    <w:rsid w:val="00E0099C"/>
    <w:rsid w:val="00E10B5C"/>
    <w:rsid w:val="00E11C7D"/>
    <w:rsid w:val="00E13B5D"/>
    <w:rsid w:val="00E30941"/>
    <w:rsid w:val="00E830E5"/>
    <w:rsid w:val="00EA4354"/>
    <w:rsid w:val="00EB5FBA"/>
    <w:rsid w:val="00EC5657"/>
    <w:rsid w:val="00EC5AD4"/>
    <w:rsid w:val="00EE6610"/>
    <w:rsid w:val="00EE77A9"/>
    <w:rsid w:val="00F00816"/>
    <w:rsid w:val="00F37F6B"/>
    <w:rsid w:val="00F44FBC"/>
    <w:rsid w:val="00F63557"/>
    <w:rsid w:val="00F635B3"/>
    <w:rsid w:val="00F84D04"/>
    <w:rsid w:val="00FA7EE5"/>
    <w:rsid w:val="00FB2B11"/>
    <w:rsid w:val="00FB6E89"/>
    <w:rsid w:val="00FE1576"/>
    <w:rsid w:val="00FF124F"/>
    <w:rsid w:val="13251E8D"/>
    <w:rsid w:val="20EA4D49"/>
    <w:rsid w:val="4E7B10E3"/>
    <w:rsid w:val="500A2DB4"/>
    <w:rsid w:val="5C931E56"/>
    <w:rsid w:val="5ED8B9F6"/>
    <w:rsid w:val="6927B05C"/>
    <w:rsid w:val="776D2E1F"/>
    <w:rsid w:val="7C1FCA82"/>
    <w:rsid w:val="7CC6D2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53EC9"/>
  <w15:docId w15:val="{1958E1EB-DE73-4769-8B3A-E61D409C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u-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E13B5D"/>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13B5D"/>
  </w:style>
  <w:style w:type="paragraph" w:styleId="Piedepgina">
    <w:name w:val="footer"/>
    <w:basedOn w:val="Normal"/>
    <w:link w:val="PiedepginaCar"/>
    <w:uiPriority w:val="99"/>
    <w:unhideWhenUsed/>
    <w:rsid w:val="00E13B5D"/>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13B5D"/>
  </w:style>
  <w:style w:type="character" w:styleId="Hipervnculo">
    <w:name w:val="Hyperlink"/>
    <w:basedOn w:val="Fuentedeprrafopredeter"/>
    <w:uiPriority w:val="99"/>
    <w:unhideWhenUsed/>
    <w:rsid w:val="00BB32E6"/>
    <w:rPr>
      <w:color w:val="0000FF" w:themeColor="hyperlink"/>
      <w:u w:val="single"/>
    </w:rPr>
  </w:style>
  <w:style w:type="character" w:styleId="Mencinsinresolver">
    <w:name w:val="Unresolved Mention"/>
    <w:basedOn w:val="Fuentedeprrafopredeter"/>
    <w:uiPriority w:val="99"/>
    <w:semiHidden/>
    <w:unhideWhenUsed/>
    <w:rsid w:val="00BB32E6"/>
    <w:rPr>
      <w:color w:val="605E5C"/>
      <w:shd w:val="clear" w:color="auto" w:fill="E1DFDD"/>
    </w:rPr>
  </w:style>
  <w:style w:type="paragraph" w:styleId="Prrafodelista">
    <w:name w:val="List Paragraph"/>
    <w:basedOn w:val="Normal"/>
    <w:uiPriority w:val="34"/>
    <w:qFormat/>
    <w:rsid w:val="006D2B18"/>
    <w:pPr>
      <w:ind w:left="720"/>
      <w:contextualSpacing/>
    </w:pPr>
  </w:style>
  <w:style w:type="paragraph" w:styleId="NormalWeb">
    <w:name w:val="Normal (Web)"/>
    <w:basedOn w:val="Normal"/>
    <w:uiPriority w:val="99"/>
    <w:semiHidden/>
    <w:unhideWhenUsed/>
    <w:rsid w:val="00750EE2"/>
    <w:pPr>
      <w:spacing w:before="100" w:beforeAutospacing="1" w:after="100" w:afterAutospacing="1" w:line="240" w:lineRule="auto"/>
    </w:pPr>
    <w:rPr>
      <w:rFonts w:ascii="Times New Roman" w:eastAsia="Times New Roman" w:hAnsi="Times New Roman" w:cs="Times New Roman"/>
      <w:sz w:val="24"/>
      <w:szCs w:val="24"/>
      <w:lang w:val="eu-ES"/>
    </w:rPr>
  </w:style>
  <w:style w:type="character" w:styleId="Hipervnculovisitado">
    <w:name w:val="FollowedHyperlink"/>
    <w:basedOn w:val="Fuentedeprrafopredeter"/>
    <w:uiPriority w:val="99"/>
    <w:semiHidden/>
    <w:unhideWhenUsed/>
    <w:rsid w:val="003C7DAD"/>
    <w:rPr>
      <w:color w:val="800080" w:themeColor="followedHyperlink"/>
      <w:u w:val="single"/>
    </w:rPr>
  </w:style>
  <w:style w:type="table" w:styleId="Tablaconcuadrcula">
    <w:name w:val="Table Grid"/>
    <w:basedOn w:val="Tablanormal"/>
    <w:uiPriority w:val="39"/>
    <w:rsid w:val="006E02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560618">
      <w:bodyDiv w:val="1"/>
      <w:marLeft w:val="0"/>
      <w:marRight w:val="0"/>
      <w:marTop w:val="0"/>
      <w:marBottom w:val="0"/>
      <w:divBdr>
        <w:top w:val="none" w:sz="0" w:space="0" w:color="auto"/>
        <w:left w:val="none" w:sz="0" w:space="0" w:color="auto"/>
        <w:bottom w:val="none" w:sz="0" w:space="0" w:color="auto"/>
        <w:right w:val="none" w:sz="0" w:space="0" w:color="auto"/>
      </w:divBdr>
    </w:div>
    <w:div w:id="446240416">
      <w:bodyDiv w:val="1"/>
      <w:marLeft w:val="0"/>
      <w:marRight w:val="0"/>
      <w:marTop w:val="0"/>
      <w:marBottom w:val="0"/>
      <w:divBdr>
        <w:top w:val="none" w:sz="0" w:space="0" w:color="auto"/>
        <w:left w:val="none" w:sz="0" w:space="0" w:color="auto"/>
        <w:bottom w:val="none" w:sz="0" w:space="0" w:color="auto"/>
        <w:right w:val="none" w:sz="0" w:space="0" w:color="auto"/>
      </w:divBdr>
    </w:div>
    <w:div w:id="516771607">
      <w:bodyDiv w:val="1"/>
      <w:marLeft w:val="0"/>
      <w:marRight w:val="0"/>
      <w:marTop w:val="0"/>
      <w:marBottom w:val="0"/>
      <w:divBdr>
        <w:top w:val="none" w:sz="0" w:space="0" w:color="auto"/>
        <w:left w:val="none" w:sz="0" w:space="0" w:color="auto"/>
        <w:bottom w:val="none" w:sz="0" w:space="0" w:color="auto"/>
        <w:right w:val="none" w:sz="0" w:space="0" w:color="auto"/>
      </w:divBdr>
    </w:div>
    <w:div w:id="687802903">
      <w:bodyDiv w:val="1"/>
      <w:marLeft w:val="0"/>
      <w:marRight w:val="0"/>
      <w:marTop w:val="0"/>
      <w:marBottom w:val="0"/>
      <w:divBdr>
        <w:top w:val="none" w:sz="0" w:space="0" w:color="auto"/>
        <w:left w:val="none" w:sz="0" w:space="0" w:color="auto"/>
        <w:bottom w:val="none" w:sz="0" w:space="0" w:color="auto"/>
        <w:right w:val="none" w:sz="0" w:space="0" w:color="auto"/>
      </w:divBdr>
    </w:div>
    <w:div w:id="1054430308">
      <w:bodyDiv w:val="1"/>
      <w:marLeft w:val="0"/>
      <w:marRight w:val="0"/>
      <w:marTop w:val="0"/>
      <w:marBottom w:val="0"/>
      <w:divBdr>
        <w:top w:val="none" w:sz="0" w:space="0" w:color="auto"/>
        <w:left w:val="none" w:sz="0" w:space="0" w:color="auto"/>
        <w:bottom w:val="none" w:sz="0" w:space="0" w:color="auto"/>
        <w:right w:val="none" w:sz="0" w:space="0" w:color="auto"/>
      </w:divBdr>
    </w:div>
    <w:div w:id="1304314643">
      <w:bodyDiv w:val="1"/>
      <w:marLeft w:val="0"/>
      <w:marRight w:val="0"/>
      <w:marTop w:val="0"/>
      <w:marBottom w:val="0"/>
      <w:divBdr>
        <w:top w:val="none" w:sz="0" w:space="0" w:color="auto"/>
        <w:left w:val="none" w:sz="0" w:space="0" w:color="auto"/>
        <w:bottom w:val="none" w:sz="0" w:space="0" w:color="auto"/>
        <w:right w:val="none" w:sz="0" w:space="0" w:color="auto"/>
      </w:divBdr>
    </w:div>
    <w:div w:id="1405832035">
      <w:bodyDiv w:val="1"/>
      <w:marLeft w:val="0"/>
      <w:marRight w:val="0"/>
      <w:marTop w:val="0"/>
      <w:marBottom w:val="0"/>
      <w:divBdr>
        <w:top w:val="none" w:sz="0" w:space="0" w:color="auto"/>
        <w:left w:val="none" w:sz="0" w:space="0" w:color="auto"/>
        <w:bottom w:val="none" w:sz="0" w:space="0" w:color="auto"/>
        <w:right w:val="none" w:sz="0" w:space="0" w:color="auto"/>
      </w:divBdr>
    </w:div>
    <w:div w:id="1724408972">
      <w:bodyDiv w:val="1"/>
      <w:marLeft w:val="0"/>
      <w:marRight w:val="0"/>
      <w:marTop w:val="0"/>
      <w:marBottom w:val="0"/>
      <w:divBdr>
        <w:top w:val="none" w:sz="0" w:space="0" w:color="auto"/>
        <w:left w:val="none" w:sz="0" w:space="0" w:color="auto"/>
        <w:bottom w:val="none" w:sz="0" w:space="0" w:color="auto"/>
        <w:right w:val="none" w:sz="0" w:space="0" w:color="auto"/>
      </w:divBdr>
    </w:div>
    <w:div w:id="1971668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kel@aclima.e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lima.eus/wp-content/uploads/Trantsizio-berdea.pdf?_gl=1*1pnvgtm*_up*MQ..*_ga*NjU0MzYzNjA4LjE3NDY1MzAyNTc.*_ga_2QK7LRTDMW*czE3NDY1MzMyMTMkbzIkZzAkdDE3NDY1MzMyMTMkajAkbDAkaD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clima.eus/wp-content/uploads/Transicion-Verde.pdf?_gl=1*jv3ws4*_up*MQ..*_ga*NjU0MzYzNjA4LjE3NDY1MzAyNTc.*_ga_2QK7LRTDMW*czE3NDY1MzAyNTYkbzEkZzEkdDE3NDY1MzAyOTQkajAkbDAkaD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d3ba07-bf07-41f7-be2a-3ea08fdb84d0" xsi:nil="true"/>
    <lcf76f155ced4ddcb4097134ff3c332f xmlns="d77b26c1-ed46-4118-a4c5-d465d398c2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5D7BD53886F724487F5DD391552434F" ma:contentTypeVersion="14" ma:contentTypeDescription="Crear nuevo documento." ma:contentTypeScope="" ma:versionID="d554c7521ed0354690d38f48aaf608dd">
  <xsd:schema xmlns:xsd="http://www.w3.org/2001/XMLSchema" xmlns:xs="http://www.w3.org/2001/XMLSchema" xmlns:p="http://schemas.microsoft.com/office/2006/metadata/properties" xmlns:ns2="d77b26c1-ed46-4118-a4c5-d465d398c291" xmlns:ns3="0dd3ba07-bf07-41f7-be2a-3ea08fdb84d0" targetNamespace="http://schemas.microsoft.com/office/2006/metadata/properties" ma:root="true" ma:fieldsID="33e405266ce0b68d936ee80791128188" ns2:_="" ns3:_="">
    <xsd:import namespace="d77b26c1-ed46-4118-a4c5-d465d398c291"/>
    <xsd:import namespace="0dd3ba07-bf07-41f7-be2a-3ea08fdb84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b26c1-ed46-4118-a4c5-d465d398c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c8cae26a-01a0-42b6-8f50-3a25646682d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d3ba07-bf07-41f7-be2a-3ea08fdb84d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c81ddee-608b-4b7d-978a-d7c5316b9c53}" ma:internalName="TaxCatchAll" ma:showField="CatchAllData" ma:web="0dd3ba07-bf07-41f7-be2a-3ea08fdb84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01CAB-CCB9-45FC-A09C-51AE525D2BF8}">
  <ds:schemaRefs>
    <ds:schemaRef ds:uri="http://schemas.microsoft.com/office/2006/metadata/properties"/>
    <ds:schemaRef ds:uri="http://schemas.microsoft.com/office/infopath/2007/PartnerControls"/>
    <ds:schemaRef ds:uri="0dd3ba07-bf07-41f7-be2a-3ea08fdb84d0"/>
    <ds:schemaRef ds:uri="d77b26c1-ed46-4118-a4c5-d465d398c291"/>
  </ds:schemaRefs>
</ds:datastoreItem>
</file>

<file path=customXml/itemProps2.xml><?xml version="1.0" encoding="utf-8"?>
<ds:datastoreItem xmlns:ds="http://schemas.openxmlformats.org/officeDocument/2006/customXml" ds:itemID="{6D7DA83D-6CF4-4510-B9EA-C08263308FC9}">
  <ds:schemaRefs>
    <ds:schemaRef ds:uri="http://schemas.microsoft.com/sharepoint/v3/contenttype/forms"/>
  </ds:schemaRefs>
</ds:datastoreItem>
</file>

<file path=customXml/itemProps3.xml><?xml version="1.0" encoding="utf-8"?>
<ds:datastoreItem xmlns:ds="http://schemas.openxmlformats.org/officeDocument/2006/customXml" ds:itemID="{379CF9BF-608E-486D-ADAF-FDF1BD419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b26c1-ed46-4118-a4c5-d465d398c291"/>
    <ds:schemaRef ds:uri="0dd3ba07-bf07-41f7-be2a-3ea08fdb8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709</Words>
  <Characters>3900</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Markel Cano</cp:lastModifiedBy>
  <cp:revision>106</cp:revision>
  <cp:lastPrinted>2025-05-06T12:09:00Z</cp:lastPrinted>
  <dcterms:created xsi:type="dcterms:W3CDTF">2024-02-08T11:37:00Z</dcterms:created>
  <dcterms:modified xsi:type="dcterms:W3CDTF">2025-05-07T10:42:00Z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0x01010015D7BD53886F724487F5DD391552434F</vt:lpwstr>
  </property>
  <property fmtid="{D5CDD505-2E9C-101B-9397-08002B2CF9AE}" pid="3" name="MediaServiceImageTags">
    <vt:lpwstr/>
  </property>
</Properties>
</file>